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991FAE">
            <w:pPr>
              <w:pStyle w:val="ECVNameField"/>
            </w:pPr>
            <w:r>
              <w:t>Goran Miletić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 w:rsidP="00991FAE">
            <w:pPr>
              <w:pStyle w:val="ECVComments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5B666A">
            <w:pPr>
              <w:pStyle w:val="ECVLeftHeading"/>
            </w:pPr>
            <w:r>
              <w:rPr>
                <w:noProof/>
              </w:rPr>
              <w:drawing>
                <wp:inline distT="0" distB="0" distL="0" distR="0">
                  <wp:extent cx="851535" cy="1282065"/>
                  <wp:effectExtent l="0" t="0" r="0" b="0"/>
                  <wp:docPr id="7" name="Picture 1" descr="+VEC_7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+VEC_7313"/>
                          <pic:cNvPicPr>
                            <a:picLocks noChangeAspect="1" noEditPoints="1" noChangeArrowheads="1" noChangeShapeType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5B666A" w:rsidP="00991FAE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EditPoints="1" noChangeArrowheads="1" noChangeShapeType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proofErr w:type="spellStart"/>
            <w:r w:rsidR="00991FAE">
              <w:t>Dr.</w:t>
            </w:r>
            <w:proofErr w:type="spellEnd"/>
            <w:r w:rsidR="00991FAE">
              <w:t xml:space="preserve"> Aleksandra </w:t>
            </w:r>
            <w:proofErr w:type="spellStart"/>
            <w:r w:rsidR="00991FAE">
              <w:t>Kostića</w:t>
            </w:r>
            <w:proofErr w:type="spellEnd"/>
            <w:r w:rsidR="00991FAE">
              <w:t xml:space="preserve"> 15A, 11000 Belgrade, Serbia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5B666A" w:rsidP="00991FA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EditPoints="1" noChangeArrowheads="1" noChangeShapeType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FAE">
              <w:t>+38163250433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5B666A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EditPoints="1" noChangeArrowheads="1" noChangeShapeType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161C80">
              <w:rPr>
                <w:rStyle w:val="ECVInternetLink"/>
              </w:rPr>
              <w:t>Goran.M</w:t>
            </w:r>
            <w:r w:rsidR="00377CB7">
              <w:rPr>
                <w:rStyle w:val="ECVInternetLink"/>
              </w:rPr>
              <w:t>iletic@crd</w:t>
            </w:r>
            <w:r w:rsidR="00991FAE">
              <w:rPr>
                <w:rStyle w:val="ECVInternetLink"/>
              </w:rPr>
              <w:t>.org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991FAE">
              <w:rPr>
                <w:rStyle w:val="ECVContactDetails"/>
              </w:rPr>
              <w:t xml:space="preserve">Male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991FAE">
              <w:rPr>
                <w:rStyle w:val="ECVContactDetails"/>
              </w:rPr>
              <w:t>15.11.1972.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991FAE">
              <w:rPr>
                <w:rStyle w:val="ECVContactDetails"/>
              </w:rPr>
              <w:t>Serbian</w:t>
            </w:r>
          </w:p>
        </w:tc>
      </w:tr>
    </w:tbl>
    <w:p w:rsidR="002946C7" w:rsidRDefault="002946C7">
      <w:pPr>
        <w:pStyle w:val="ECVText"/>
      </w:pPr>
    </w:p>
    <w:p w:rsidR="002946C7" w:rsidRDefault="002946C7">
      <w:pPr>
        <w:pStyle w:val="ECVText"/>
      </w:pPr>
    </w:p>
    <w:tbl>
      <w:tblPr>
        <w:tblW w:w="1048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3795"/>
        <w:gridCol w:w="3745"/>
      </w:tblGrid>
      <w:tr w:rsidR="002946C7" w:rsidTr="0001625F">
        <w:trPr>
          <w:gridBefore w:val="1"/>
          <w:wBefore w:w="108" w:type="dxa"/>
          <w:trHeight w:val="170"/>
          <w:jc w:val="right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gridSpan w:val="2"/>
            <w:shd w:val="clear" w:color="auto" w:fill="auto"/>
            <w:vAlign w:val="bottom"/>
          </w:tcPr>
          <w:p w:rsidR="002946C7" w:rsidRDefault="005B666A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7265" cy="89535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EditPoints="1" noChangeArrowheads="1" noChangeShapeType="1" noCrop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  <w:tr w:rsidR="00991FAE" w:rsidTr="0001625F">
        <w:tblPrEx>
          <w:tblCellMar>
            <w:left w:w="108" w:type="dxa"/>
            <w:right w:w="108" w:type="dxa"/>
          </w:tblCellMar>
        </w:tblPrEx>
        <w:trPr>
          <w:gridAfter w:val="1"/>
          <w:wAfter w:w="3745" w:type="dxa"/>
          <w:jc w:val="right"/>
        </w:trPr>
        <w:tc>
          <w:tcPr>
            <w:tcW w:w="6738" w:type="dxa"/>
            <w:gridSpan w:val="3"/>
            <w:vAlign w:val="bottom"/>
          </w:tcPr>
          <w:p w:rsidR="00991FAE" w:rsidRDefault="00991FAE" w:rsidP="0001625F">
            <w:pPr>
              <w:pStyle w:val="CompanyNameOne"/>
              <w:tabs>
                <w:tab w:val="right" w:pos="-12412"/>
              </w:tabs>
              <w:rPr>
                <w:rFonts w:ascii="Times New Roman" w:hAnsi="Times New Roman"/>
                <w:sz w:val="18"/>
              </w:rPr>
            </w:pPr>
          </w:p>
          <w:p w:rsidR="00377CB7" w:rsidRDefault="00377CB7" w:rsidP="0001625F">
            <w:pPr>
              <w:pStyle w:val="CompanyNameOne"/>
              <w:tabs>
                <w:tab w:val="right" w:pos="-1241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2017 – present                                                                                    Civil Rights Defenders</w:t>
            </w:r>
          </w:p>
          <w:p w:rsidR="00377CB7" w:rsidRPr="00377CB7" w:rsidRDefault="00377CB7" w:rsidP="0001625F">
            <w:pPr>
              <w:pStyle w:val="CompanyNameOne"/>
              <w:tabs>
                <w:tab w:val="right" w:pos="-12412"/>
              </w:tabs>
              <w:rPr>
                <w:rFonts w:ascii="Times New Roman" w:hAnsi="Times New Roman"/>
                <w:b/>
                <w:i/>
                <w:sz w:val="18"/>
              </w:rPr>
            </w:pPr>
            <w:r w:rsidRPr="00377CB7">
              <w:rPr>
                <w:rFonts w:ascii="Times New Roman" w:hAnsi="Times New Roman"/>
                <w:b/>
                <w:i/>
                <w:sz w:val="18"/>
              </w:rPr>
              <w:t>Director for Europe</w:t>
            </w:r>
          </w:p>
          <w:p w:rsidR="00377CB7" w:rsidRPr="00377CB7" w:rsidRDefault="00377CB7" w:rsidP="00377CB7">
            <w:pPr>
              <w:pStyle w:val="JobTitle"/>
              <w:numPr>
                <w:ilvl w:val="0"/>
                <w:numId w:val="8"/>
              </w:numPr>
              <w:rPr>
                <w:rFonts w:ascii="Times New Roman" w:hAnsi="Times New Roman"/>
                <w:i w:val="0"/>
                <w:szCs w:val="18"/>
              </w:rPr>
            </w:pPr>
            <w:r w:rsidRPr="00377CB7">
              <w:rPr>
                <w:rFonts w:ascii="Times New Roman" w:hAnsi="Times New Roman"/>
                <w:i w:val="0"/>
                <w:szCs w:val="18"/>
              </w:rPr>
              <w:t>Implementation of Strategy for Europe adopted by Civil Rights Defenders Board in December 2016</w:t>
            </w:r>
          </w:p>
          <w:p w:rsidR="00377CB7" w:rsidRPr="00377CB7" w:rsidRDefault="00377CB7" w:rsidP="00377CB7">
            <w:pPr>
              <w:pStyle w:val="Achievement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377CB7">
              <w:rPr>
                <w:rFonts w:ascii="Times New Roman" w:hAnsi="Times New Roman"/>
                <w:sz w:val="18"/>
                <w:szCs w:val="18"/>
              </w:rPr>
              <w:t>Expert support to selected partners in European countries</w:t>
            </w:r>
          </w:p>
          <w:p w:rsidR="00377CB7" w:rsidRPr="00377CB7" w:rsidRDefault="00377CB7" w:rsidP="00377CB7">
            <w:pPr>
              <w:pStyle w:val="Achievement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377CB7">
              <w:rPr>
                <w:rFonts w:ascii="Times New Roman" w:hAnsi="Times New Roman"/>
                <w:sz w:val="18"/>
                <w:szCs w:val="18"/>
              </w:rPr>
              <w:t>Managing Europe office and existing field office in Europe</w:t>
            </w:r>
          </w:p>
          <w:p w:rsidR="00377CB7" w:rsidRPr="00377CB7" w:rsidRDefault="00377CB7" w:rsidP="00377CB7">
            <w:pPr>
              <w:pStyle w:val="Achievement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377CB7">
              <w:rPr>
                <w:rFonts w:ascii="Times New Roman" w:hAnsi="Times New Roman"/>
                <w:sz w:val="18"/>
                <w:szCs w:val="18"/>
              </w:rPr>
              <w:t>Creation and implementation of key capacity building, advocacy and lobbying activities</w:t>
            </w:r>
          </w:p>
          <w:p w:rsidR="00991FAE" w:rsidRDefault="00991FAE" w:rsidP="0001625F">
            <w:pPr>
              <w:pStyle w:val="CompanyNameOne"/>
              <w:tabs>
                <w:tab w:val="right" w:pos="-1241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377CB7">
              <w:rPr>
                <w:rFonts w:ascii="Times New Roman" w:hAnsi="Times New Roman"/>
                <w:sz w:val="18"/>
              </w:rPr>
              <w:t xml:space="preserve">010 – 2016    </w:t>
            </w:r>
            <w:r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Civil Rights Defenders</w:t>
            </w:r>
          </w:p>
          <w:p w:rsidR="00991FAE" w:rsidRPr="00377CB7" w:rsidRDefault="00991FAE" w:rsidP="0001625F">
            <w:pPr>
              <w:pStyle w:val="JobTitle"/>
              <w:rPr>
                <w:rFonts w:ascii="Times New Roman" w:hAnsi="Times New Roman"/>
                <w:b/>
              </w:rPr>
            </w:pPr>
            <w:r w:rsidRPr="00377CB7">
              <w:rPr>
                <w:rFonts w:ascii="Times New Roman" w:hAnsi="Times New Roman"/>
                <w:b/>
              </w:rPr>
              <w:t>Programme Director for the Western Balkans</w:t>
            </w:r>
          </w:p>
          <w:p w:rsidR="00991FAE" w:rsidRPr="00472C40" w:rsidRDefault="00991FAE" w:rsidP="0001625F">
            <w:pPr>
              <w:pStyle w:val="JobTitle"/>
              <w:numPr>
                <w:ilvl w:val="0"/>
                <w:numId w:val="7"/>
              </w:numPr>
              <w:rPr>
                <w:rFonts w:ascii="Times New Roman" w:hAnsi="Times New Roman"/>
                <w:i w:val="0"/>
                <w:szCs w:val="18"/>
              </w:rPr>
            </w:pPr>
            <w:r w:rsidRPr="00472C40">
              <w:rPr>
                <w:rFonts w:ascii="Times New Roman" w:hAnsi="Times New Roman"/>
                <w:i w:val="0"/>
                <w:szCs w:val="18"/>
              </w:rPr>
              <w:t xml:space="preserve">Providing financial and expert support to selected NGOs within </w:t>
            </w:r>
            <w:r>
              <w:rPr>
                <w:rFonts w:ascii="Times New Roman" w:hAnsi="Times New Roman"/>
                <w:i w:val="0"/>
                <w:szCs w:val="18"/>
              </w:rPr>
              <w:t xml:space="preserve">Civil Rights </w:t>
            </w:r>
            <w:r w:rsidR="00377CB7">
              <w:rPr>
                <w:rFonts w:ascii="Times New Roman" w:hAnsi="Times New Roman"/>
                <w:i w:val="0"/>
                <w:szCs w:val="18"/>
              </w:rPr>
              <w:t>Defenders</w:t>
            </w:r>
            <w:r w:rsidRPr="00472C40">
              <w:rPr>
                <w:rFonts w:ascii="Times New Roman" w:hAnsi="Times New Roman"/>
                <w:i w:val="0"/>
                <w:szCs w:val="18"/>
              </w:rPr>
              <w:t xml:space="preserve"> programme</w:t>
            </w:r>
            <w:r>
              <w:rPr>
                <w:rFonts w:ascii="Times New Roman" w:hAnsi="Times New Roman"/>
                <w:i w:val="0"/>
                <w:szCs w:val="18"/>
              </w:rPr>
              <w:t xml:space="preserve"> in the Western Balkans (Serbia, Kosovo, Albania, Macedonia, Croatia, Montenegro, Bosnia and Herzegovina)</w:t>
            </w:r>
          </w:p>
          <w:p w:rsidR="00991FAE" w:rsidRPr="00472C40" w:rsidRDefault="00991FAE" w:rsidP="0001625F">
            <w:pPr>
              <w:pStyle w:val="Achievement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72C40">
              <w:rPr>
                <w:rFonts w:ascii="Times New Roman" w:hAnsi="Times New Roman"/>
                <w:sz w:val="18"/>
                <w:szCs w:val="18"/>
              </w:rPr>
              <w:t>Inclusive Capacity building of local partners including consultation and evaluation of free legal aid activities</w:t>
            </w:r>
          </w:p>
          <w:p w:rsidR="00991FAE" w:rsidRPr="00472C40" w:rsidRDefault="00991FAE" w:rsidP="0001625F">
            <w:pPr>
              <w:pStyle w:val="Achievement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72C40">
              <w:rPr>
                <w:rFonts w:ascii="Times New Roman" w:hAnsi="Times New Roman"/>
                <w:sz w:val="18"/>
                <w:szCs w:val="18"/>
              </w:rPr>
              <w:t xml:space="preserve">Coordination of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lobbying and advocacy activities in relation to some legislation such as Law on free legal aid, Law against discrimination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etc</w:t>
            </w:r>
            <w:proofErr w:type="spellEnd"/>
          </w:p>
          <w:p w:rsidR="00991FAE" w:rsidRPr="00472C40" w:rsidRDefault="00991FAE" w:rsidP="0001625F">
            <w:pPr>
              <w:pStyle w:val="JobTitle"/>
              <w:numPr>
                <w:ilvl w:val="0"/>
                <w:numId w:val="7"/>
              </w:numPr>
              <w:rPr>
                <w:rFonts w:ascii="Times New Roman" w:hAnsi="Times New Roman"/>
                <w:i w:val="0"/>
                <w:szCs w:val="18"/>
              </w:rPr>
            </w:pPr>
            <w:r w:rsidRPr="00472C40">
              <w:rPr>
                <w:rFonts w:ascii="Times New Roman" w:hAnsi="Times New Roman"/>
                <w:i w:val="0"/>
                <w:szCs w:val="18"/>
              </w:rPr>
              <w:t xml:space="preserve">Creation, preparation and lecturing on regional seminars, workshops and trainings (e.g. </w:t>
            </w:r>
            <w:r>
              <w:rPr>
                <w:rFonts w:ascii="Times New Roman" w:hAnsi="Times New Roman"/>
                <w:i w:val="0"/>
                <w:szCs w:val="18"/>
              </w:rPr>
              <w:t xml:space="preserve">Moot Court Competition, </w:t>
            </w:r>
            <w:r w:rsidRPr="00472C40">
              <w:rPr>
                <w:rFonts w:ascii="Times New Roman" w:hAnsi="Times New Roman"/>
                <w:i w:val="0"/>
                <w:szCs w:val="18"/>
              </w:rPr>
              <w:t xml:space="preserve">Training for Human Rights Lawyers, </w:t>
            </w:r>
            <w:r w:rsidR="002D6B5C">
              <w:rPr>
                <w:rFonts w:ascii="Times New Roman" w:hAnsi="Times New Roman"/>
                <w:i w:val="0"/>
                <w:szCs w:val="18"/>
              </w:rPr>
              <w:t>Rule of Law Forum</w:t>
            </w:r>
            <w:r w:rsidRPr="00472C40">
              <w:rPr>
                <w:rFonts w:ascii="Times New Roman" w:hAnsi="Times New Roman"/>
                <w:i w:val="0"/>
                <w:szCs w:val="18"/>
              </w:rPr>
              <w:t xml:space="preserve">, Regional </w:t>
            </w:r>
            <w:r w:rsidR="002D6B5C">
              <w:rPr>
                <w:rFonts w:ascii="Times New Roman" w:hAnsi="Times New Roman"/>
                <w:i w:val="0"/>
                <w:szCs w:val="18"/>
              </w:rPr>
              <w:t>Summit</w:t>
            </w:r>
            <w:r w:rsidRPr="00472C40">
              <w:rPr>
                <w:rFonts w:ascii="Times New Roman" w:hAnsi="Times New Roman"/>
                <w:i w:val="0"/>
                <w:szCs w:val="18"/>
              </w:rPr>
              <w:t xml:space="preserve"> for Young Roma Leaders etc.)</w:t>
            </w:r>
          </w:p>
          <w:p w:rsidR="00991FAE" w:rsidRPr="00472C40" w:rsidRDefault="00991FAE" w:rsidP="0001625F">
            <w:pPr>
              <w:pStyle w:val="JobTitle"/>
              <w:numPr>
                <w:ilvl w:val="0"/>
                <w:numId w:val="7"/>
              </w:numPr>
              <w:rPr>
                <w:rFonts w:ascii="Times New Roman" w:hAnsi="Times New Roman"/>
                <w:i w:val="0"/>
                <w:szCs w:val="18"/>
              </w:rPr>
            </w:pPr>
            <w:r w:rsidRPr="00472C40">
              <w:rPr>
                <w:rFonts w:ascii="Times New Roman" w:hAnsi="Times New Roman"/>
                <w:i w:val="0"/>
                <w:szCs w:val="18"/>
              </w:rPr>
              <w:t>Expert support in implementation of Rule of Law and Non-discrimination progra</w:t>
            </w:r>
            <w:r>
              <w:rPr>
                <w:rFonts w:ascii="Times New Roman" w:hAnsi="Times New Roman"/>
                <w:i w:val="0"/>
                <w:szCs w:val="18"/>
              </w:rPr>
              <w:t>mme in other countries where Civil Rights Defenders</w:t>
            </w:r>
            <w:r w:rsidRPr="00472C40">
              <w:rPr>
                <w:rFonts w:ascii="Times New Roman" w:hAnsi="Times New Roman"/>
                <w:i w:val="0"/>
                <w:szCs w:val="18"/>
              </w:rPr>
              <w:t xml:space="preserve"> is active (e.g. Moldova)</w:t>
            </w:r>
          </w:p>
          <w:p w:rsidR="00991FAE" w:rsidRPr="00BE4F52" w:rsidRDefault="00991FAE" w:rsidP="0001625F">
            <w:pPr>
              <w:pStyle w:val="JobTitle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0"/>
              </w:rPr>
              <w:t>Advocacy for victims of human rights abuses together with local partners</w:t>
            </w:r>
          </w:p>
          <w:p w:rsidR="00991FAE" w:rsidRDefault="00991FAE" w:rsidP="0001625F">
            <w:pPr>
              <w:pStyle w:val="CompanyNameOne"/>
              <w:tabs>
                <w:tab w:val="right" w:pos="-12412"/>
              </w:tabs>
              <w:rPr>
                <w:rFonts w:ascii="Times New Roman" w:hAnsi="Times New Roman"/>
                <w:sz w:val="18"/>
              </w:rPr>
            </w:pPr>
          </w:p>
          <w:p w:rsidR="00991FAE" w:rsidRDefault="00991FAE" w:rsidP="0001625F">
            <w:pPr>
              <w:pStyle w:val="CompanyNameOne"/>
              <w:tabs>
                <w:tab w:val="right" w:pos="-1241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2004 - 2005                                                                                        Civil Rights Defenders</w:t>
            </w:r>
          </w:p>
          <w:p w:rsidR="00991FAE" w:rsidRPr="00377CB7" w:rsidRDefault="00991FAE" w:rsidP="0001625F">
            <w:pPr>
              <w:pStyle w:val="JobTitle"/>
              <w:rPr>
                <w:rFonts w:ascii="Times New Roman" w:hAnsi="Times New Roman"/>
                <w:b/>
              </w:rPr>
            </w:pPr>
            <w:r w:rsidRPr="00377CB7">
              <w:rPr>
                <w:rFonts w:ascii="Times New Roman" w:hAnsi="Times New Roman"/>
                <w:b/>
              </w:rPr>
              <w:t>Programme Officer</w:t>
            </w:r>
          </w:p>
          <w:p w:rsidR="00991FAE" w:rsidRDefault="00991FAE" w:rsidP="0001625F">
            <w:pPr>
              <w:pStyle w:val="CompanyNameOne"/>
              <w:numPr>
                <w:ilvl w:val="0"/>
                <w:numId w:val="7"/>
              </w:numPr>
              <w:tabs>
                <w:tab w:val="right" w:pos="-1241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Gathering data and establishing cooperation with human rights and minority NGOs in Serbia, Montenegro and the Western Balkans region</w:t>
            </w:r>
          </w:p>
          <w:p w:rsidR="00991FAE" w:rsidRDefault="00991FAE" w:rsidP="0001625F">
            <w:pPr>
              <w:pStyle w:val="JobTitle"/>
              <w:numPr>
                <w:ilvl w:val="0"/>
                <w:numId w:val="7"/>
              </w:numPr>
              <w:rPr>
                <w:rFonts w:ascii="Times New Roman" w:hAnsi="Times New Roman"/>
                <w:i w:val="0"/>
              </w:rPr>
            </w:pPr>
            <w:r w:rsidRPr="00A434DB">
              <w:rPr>
                <w:rFonts w:ascii="Times New Roman" w:hAnsi="Times New Roman"/>
                <w:i w:val="0"/>
              </w:rPr>
              <w:t>Providing financial and expert support to selected NGOs within Rule of Law and Non-discrimination programme</w:t>
            </w:r>
          </w:p>
          <w:p w:rsidR="00991FAE" w:rsidRDefault="00991FAE" w:rsidP="0001625F">
            <w:pPr>
              <w:pStyle w:val="JobTitle"/>
              <w:numPr>
                <w:ilvl w:val="0"/>
                <w:numId w:val="7"/>
              </w:num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Creation, preparation and lecturing on regional seminars, workshops and trainings (e.g. Training for Human Rights Lawyers, Seminar on ICC, Regional Workshop for Young Roma Leaders etc.)</w:t>
            </w:r>
          </w:p>
          <w:p w:rsidR="00991FAE" w:rsidRDefault="00991FAE" w:rsidP="0001625F">
            <w:pPr>
              <w:pStyle w:val="CompanyNameOne"/>
              <w:tabs>
                <w:tab w:val="right" w:pos="-12412"/>
              </w:tabs>
              <w:rPr>
                <w:rFonts w:ascii="Times New Roman" w:hAnsi="Times New Roman"/>
                <w:sz w:val="18"/>
              </w:rPr>
            </w:pPr>
          </w:p>
          <w:p w:rsidR="00991FAE" w:rsidRDefault="00991FAE" w:rsidP="0001625F">
            <w:pPr>
              <w:pStyle w:val="CompanyNameOne"/>
              <w:tabs>
                <w:tab w:val="right" w:pos="-1241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2001 - 2004                                                                Humanitarian Law Center (HLC)</w:t>
            </w:r>
          </w:p>
          <w:p w:rsidR="00991FAE" w:rsidRDefault="00991FAE" w:rsidP="0001625F">
            <w:pPr>
              <w:pStyle w:val="JobTitl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Regional coordinator – investigation of human rights violations</w:t>
            </w:r>
          </w:p>
          <w:p w:rsidR="00991FAE" w:rsidRDefault="00991FAE" w:rsidP="0001625F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Gathering data, conducting research of human rights violations (Vojvodina, Serbia, Kosovo, Montenegro)</w:t>
            </w:r>
          </w:p>
          <w:p w:rsidR="00991FAE" w:rsidRDefault="00991FAE" w:rsidP="0001625F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Coordinating projects in the field of human rights and providing expert and legal support to individual projects</w:t>
            </w:r>
          </w:p>
          <w:p w:rsidR="00991FAE" w:rsidRDefault="00991FAE" w:rsidP="0001625F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Coordinating </w:t>
            </w:r>
            <w:proofErr w:type="gramStart"/>
            <w:r>
              <w:rPr>
                <w:rFonts w:ascii="Times New Roman" w:hAnsi="Times New Roman"/>
                <w:sz w:val="18"/>
              </w:rPr>
              <w:t>report  preparation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991FAE" w:rsidRDefault="00991FAE" w:rsidP="0001625F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Field research in multiethnic communities –- southern Serbia (Preshevo and Bujanovac), Sanjak etc. </w:t>
            </w:r>
          </w:p>
          <w:p w:rsidR="00991FAE" w:rsidRDefault="00991FAE" w:rsidP="0001625F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Representation of the HLC programs before international and regional organizations: Council of Europe, OSCE and UN bodies</w:t>
            </w:r>
          </w:p>
          <w:p w:rsidR="00991FAE" w:rsidRDefault="00991FAE" w:rsidP="0001625F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Participation in project analysis and design aimed at ongoing and future projects, programs and strategies</w:t>
            </w:r>
          </w:p>
          <w:p w:rsidR="00991FAE" w:rsidRDefault="00991FAE" w:rsidP="0001625F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Promoting and enhancing harmonious professional relations with NGOs, international donors, government agencies and other organizations involved in specific projects </w:t>
            </w:r>
          </w:p>
          <w:p w:rsidR="00991FAE" w:rsidRDefault="00991FAE" w:rsidP="0001625F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Performing other duties and activities as required for efficient information gathering on human rights violations. </w:t>
            </w:r>
          </w:p>
          <w:p w:rsidR="00991FAE" w:rsidRPr="00B25ACA" w:rsidRDefault="00991FAE" w:rsidP="0001625F">
            <w:pPr>
              <w:pStyle w:val="Achievement"/>
              <w:jc w:val="left"/>
            </w:pPr>
          </w:p>
          <w:p w:rsidR="00991FAE" w:rsidRDefault="00991FAE" w:rsidP="0001625F">
            <w:pPr>
              <w:pStyle w:val="CompanyNameOne"/>
              <w:tabs>
                <w:tab w:val="right" w:pos="-1241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2000 – 2001</w:t>
            </w:r>
            <w:r>
              <w:rPr>
                <w:rFonts w:ascii="Times New Roman" w:hAnsi="Times New Roman"/>
                <w:sz w:val="18"/>
              </w:rPr>
              <w:tab/>
              <w:t xml:space="preserve">                                                         Humanitarian Law </w:t>
            </w:r>
            <w:proofErr w:type="gramStart"/>
            <w:r>
              <w:rPr>
                <w:rFonts w:ascii="Times New Roman" w:hAnsi="Times New Roman"/>
                <w:sz w:val="18"/>
              </w:rPr>
              <w:t>Center  (</w:t>
            </w:r>
            <w:proofErr w:type="gramEnd"/>
            <w:r>
              <w:rPr>
                <w:rFonts w:ascii="Times New Roman" w:hAnsi="Times New Roman"/>
                <w:sz w:val="18"/>
              </w:rPr>
              <w:t>HLC)</w:t>
            </w:r>
          </w:p>
          <w:p w:rsidR="00991FAE" w:rsidRDefault="00991FAE" w:rsidP="0001625F">
            <w:pPr>
              <w:pStyle w:val="JobTitl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Lawyer </w:t>
            </w:r>
            <w:proofErr w:type="gramStart"/>
            <w:r>
              <w:rPr>
                <w:rFonts w:ascii="Times New Roman" w:hAnsi="Times New Roman"/>
                <w:b/>
              </w:rPr>
              <w:t>and  Media</w:t>
            </w:r>
            <w:proofErr w:type="gramEnd"/>
            <w:r>
              <w:rPr>
                <w:rFonts w:ascii="Times New Roman" w:hAnsi="Times New Roman"/>
                <w:b/>
              </w:rPr>
              <w:t xml:space="preserve"> Analyst</w:t>
            </w:r>
          </w:p>
          <w:p w:rsidR="00991FAE" w:rsidRDefault="00991FAE" w:rsidP="0001625F">
            <w:pPr>
              <w:pStyle w:val="Achievement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Filing news items published in print media (dailies, weeklies and monthly magazines) in Serbia and Montenegro</w:t>
            </w:r>
          </w:p>
          <w:p w:rsidR="00991FAE" w:rsidRDefault="00991FAE" w:rsidP="0001625F">
            <w:pPr>
              <w:pStyle w:val="Achievement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Analysis of news items (thematic and chronological) </w:t>
            </w:r>
          </w:p>
          <w:p w:rsidR="00991FAE" w:rsidRDefault="00991FAE" w:rsidP="0001625F">
            <w:pPr>
              <w:pStyle w:val="Achievement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Preparing material </w:t>
            </w:r>
            <w:proofErr w:type="gramStart"/>
            <w:r>
              <w:rPr>
                <w:rFonts w:ascii="Times New Roman" w:hAnsi="Times New Roman"/>
                <w:sz w:val="18"/>
              </w:rPr>
              <w:t>for  annual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reports</w:t>
            </w:r>
          </w:p>
          <w:p w:rsidR="00991FAE" w:rsidRDefault="00991FAE" w:rsidP="0001625F">
            <w:pPr>
              <w:pStyle w:val="Achievement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Coordination of IWPR project realization </w:t>
            </w:r>
            <w:proofErr w:type="gramStart"/>
            <w:r>
              <w:rPr>
                <w:rFonts w:ascii="Times New Roman" w:hAnsi="Times New Roman"/>
                <w:sz w:val="18"/>
              </w:rPr>
              <w:t>and  preparing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 xml:space="preserve">"Human Rights Card" </w:t>
            </w:r>
            <w:r>
              <w:rPr>
                <w:rFonts w:ascii="Times New Roman" w:hAnsi="Times New Roman"/>
                <w:sz w:val="18"/>
              </w:rPr>
              <w:t>within the project</w:t>
            </w:r>
          </w:p>
        </w:tc>
      </w:tr>
      <w:tr w:rsidR="00991FAE" w:rsidTr="0001625F">
        <w:tblPrEx>
          <w:tblCellMar>
            <w:left w:w="108" w:type="dxa"/>
            <w:right w:w="108" w:type="dxa"/>
          </w:tblCellMar>
        </w:tblPrEx>
        <w:trPr>
          <w:gridAfter w:val="1"/>
          <w:wAfter w:w="3745" w:type="dxa"/>
          <w:jc w:val="right"/>
        </w:trPr>
        <w:tc>
          <w:tcPr>
            <w:tcW w:w="6738" w:type="dxa"/>
            <w:gridSpan w:val="3"/>
            <w:vAlign w:val="bottom"/>
          </w:tcPr>
          <w:p w:rsidR="00991FAE" w:rsidRDefault="00991FAE" w:rsidP="004D1D4E">
            <w:pPr>
              <w:pStyle w:val="Achievement"/>
              <w:ind w:left="360"/>
              <w:jc w:val="left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lastRenderedPageBreak/>
              <w:t xml:space="preserve"> </w:t>
            </w:r>
          </w:p>
        </w:tc>
      </w:tr>
      <w:tr w:rsidR="00377CB7" w:rsidTr="0001625F">
        <w:tblPrEx>
          <w:tblCellMar>
            <w:left w:w="108" w:type="dxa"/>
            <w:right w:w="108" w:type="dxa"/>
          </w:tblCellMar>
        </w:tblPrEx>
        <w:trPr>
          <w:gridAfter w:val="1"/>
          <w:wAfter w:w="3745" w:type="dxa"/>
          <w:jc w:val="right"/>
        </w:trPr>
        <w:tc>
          <w:tcPr>
            <w:tcW w:w="6738" w:type="dxa"/>
            <w:gridSpan w:val="3"/>
            <w:vAlign w:val="bottom"/>
          </w:tcPr>
          <w:p w:rsidR="00377CB7" w:rsidRDefault="00377CB7" w:rsidP="0001625F">
            <w:pPr>
              <w:pStyle w:val="CompanyName"/>
              <w:rPr>
                <w:rFonts w:ascii="Times New Roman" w:hAnsi="Times New Roman"/>
                <w:sz w:val="18"/>
              </w:rPr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</w:t>
            </w:r>
            <w:r w:rsidR="00991FAE">
              <w:rPr>
                <w:caps w:val="0"/>
              </w:rPr>
              <w:t>DUCATION AND PUBLICATIONS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5B666A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7265" cy="89535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EditPoints="1" noChangeArrowheads="1" noChangeShapeType="1" noCrop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991FAE" w:rsidRDefault="00161C80" w:rsidP="00161C80">
      <w:pPr>
        <w:tabs>
          <w:tab w:val="left" w:pos="2552"/>
        </w:tabs>
        <w:spacing w:before="60" w:line="220" w:lineRule="atLeast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ab/>
      </w:r>
      <w:r w:rsidR="00991FAE">
        <w:rPr>
          <w:rFonts w:ascii="Times New Roman" w:hAnsi="Times New Roman"/>
          <w:color w:val="000000"/>
          <w:sz w:val="18"/>
        </w:rPr>
        <w:t xml:space="preserve">2010                 Law School, Union </w:t>
      </w:r>
      <w:proofErr w:type="spellStart"/>
      <w:r w:rsidR="00991FAE">
        <w:rPr>
          <w:rFonts w:ascii="Times New Roman" w:hAnsi="Times New Roman"/>
          <w:color w:val="000000"/>
          <w:sz w:val="18"/>
        </w:rPr>
        <w:t>Univesity</w:t>
      </w:r>
      <w:proofErr w:type="spellEnd"/>
    </w:p>
    <w:p w:rsidR="00991FAE" w:rsidRDefault="00991FAE" w:rsidP="00161C80">
      <w:pPr>
        <w:spacing w:after="60" w:line="240" w:lineRule="atLeast"/>
        <w:ind w:left="2836" w:firstLine="425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Ongoing PhD studies</w:t>
      </w:r>
    </w:p>
    <w:p w:rsidR="00991FAE" w:rsidRDefault="00991FAE" w:rsidP="00991FAE">
      <w:pPr>
        <w:tabs>
          <w:tab w:val="left" w:pos="3227"/>
        </w:tabs>
        <w:spacing w:before="60" w:line="220" w:lineRule="atLeast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                                                               2007                 Centre for Interdisciplinary Studies, University of Sarajevo/Bologna  </w:t>
      </w:r>
    </w:p>
    <w:p w:rsidR="00991FAE" w:rsidRDefault="00991FAE" w:rsidP="00991FAE">
      <w:pPr>
        <w:tabs>
          <w:tab w:val="left" w:pos="3196"/>
        </w:tabs>
        <w:spacing w:after="60" w:line="240" w:lineRule="atLeast"/>
        <w:ind w:left="3196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MA in Democracy and Human Rights</w:t>
      </w:r>
    </w:p>
    <w:p w:rsidR="00991FAE" w:rsidRDefault="00991FAE" w:rsidP="00991FAE">
      <w:pPr>
        <w:tabs>
          <w:tab w:val="left" w:pos="3227"/>
        </w:tabs>
        <w:spacing w:before="60" w:line="220" w:lineRule="atLeast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                                                               1999                 Law School, University of Belgrade  </w:t>
      </w:r>
    </w:p>
    <w:p w:rsidR="00991FAE" w:rsidRDefault="00991FAE" w:rsidP="00991FAE">
      <w:pPr>
        <w:tabs>
          <w:tab w:val="left" w:pos="3196"/>
        </w:tabs>
        <w:spacing w:after="60" w:line="240" w:lineRule="atLeast"/>
        <w:ind w:left="3196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LL.M. majored in EU Law and human rights</w:t>
      </w:r>
    </w:p>
    <w:p w:rsidR="00991FAE" w:rsidRDefault="00991FAE" w:rsidP="00991FAE">
      <w:pPr>
        <w:tabs>
          <w:tab w:val="right" w:pos="3227"/>
        </w:tabs>
        <w:spacing w:before="60" w:line="220" w:lineRule="atLeast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                                                               1991                "Filip </w:t>
      </w:r>
      <w:proofErr w:type="spellStart"/>
      <w:r>
        <w:rPr>
          <w:rFonts w:ascii="Times New Roman" w:hAnsi="Times New Roman"/>
          <w:color w:val="000000"/>
          <w:sz w:val="18"/>
        </w:rPr>
        <w:t>Filipovic</w:t>
      </w:r>
      <w:proofErr w:type="spellEnd"/>
      <w:r>
        <w:rPr>
          <w:rFonts w:ascii="Times New Roman" w:hAnsi="Times New Roman"/>
          <w:color w:val="000000"/>
          <w:sz w:val="18"/>
        </w:rPr>
        <w:t xml:space="preserve">" High School in </w:t>
      </w:r>
      <w:proofErr w:type="spellStart"/>
      <w:r>
        <w:rPr>
          <w:rFonts w:ascii="Times New Roman" w:hAnsi="Times New Roman"/>
          <w:color w:val="000000"/>
          <w:sz w:val="18"/>
        </w:rPr>
        <w:t>Cacak</w:t>
      </w:r>
      <w:proofErr w:type="spellEnd"/>
    </w:p>
    <w:p w:rsidR="00991FAE" w:rsidRDefault="00991FAE" w:rsidP="00991FAE">
      <w:pPr>
        <w:tabs>
          <w:tab w:val="left" w:pos="3196"/>
        </w:tabs>
        <w:spacing w:after="60" w:line="240" w:lineRule="atLeast"/>
        <w:ind w:left="3196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Degree in mathematics and computer programming</w:t>
      </w:r>
    </w:p>
    <w:p w:rsidR="00991FAE" w:rsidRDefault="00991FAE" w:rsidP="00991FAE">
      <w:pPr>
        <w:spacing w:after="60" w:line="240" w:lineRule="atLeast"/>
        <w:jc w:val="both"/>
        <w:rPr>
          <w:rFonts w:ascii="Times New Roman" w:hAnsi="Times New Roman"/>
          <w:color w:val="000000"/>
          <w:sz w:val="18"/>
        </w:rPr>
      </w:pPr>
    </w:p>
    <w:p w:rsidR="00991FAE" w:rsidRDefault="00991FAE" w:rsidP="00991FAE">
      <w:pPr>
        <w:spacing w:after="60" w:line="240" w:lineRule="atLeast"/>
        <w:ind w:left="3196"/>
        <w:jc w:val="both"/>
        <w:rPr>
          <w:rFonts w:ascii="Times New Roman" w:hAnsi="Times New Roman"/>
          <w:color w:val="000000"/>
          <w:sz w:val="18"/>
        </w:rPr>
      </w:pPr>
    </w:p>
    <w:p w:rsidR="00991FAE" w:rsidRDefault="00991FAE" w:rsidP="00991FAE">
      <w:pPr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During</w:t>
      </w:r>
      <w:r w:rsidR="00161C80">
        <w:rPr>
          <w:rFonts w:ascii="Times New Roman" w:hAnsi="Times New Roman"/>
          <w:color w:val="000000"/>
          <w:sz w:val="18"/>
        </w:rPr>
        <w:t xml:space="preserve"> my work I conducted more than 3</w:t>
      </w:r>
      <w:r>
        <w:rPr>
          <w:rFonts w:ascii="Times New Roman" w:hAnsi="Times New Roman"/>
          <w:color w:val="000000"/>
          <w:sz w:val="18"/>
        </w:rPr>
        <w:t>.000 different lectures related to torture, discrimination, international human rights system, advocacy and lobbying, investigation of human rights violation, representation of victims and rights of different minority groups</w:t>
      </w:r>
      <w:r w:rsidR="00377CB7">
        <w:rPr>
          <w:rFonts w:ascii="Times New Roman" w:hAnsi="Times New Roman"/>
          <w:color w:val="000000"/>
          <w:sz w:val="18"/>
        </w:rPr>
        <w:t>.</w:t>
      </w:r>
    </w:p>
    <w:p w:rsidR="00377CB7" w:rsidRDefault="00377CB7" w:rsidP="00991FAE">
      <w:pPr>
        <w:jc w:val="both"/>
        <w:rPr>
          <w:rFonts w:ascii="Times New Roman" w:hAnsi="Times New Roman"/>
          <w:color w:val="000000"/>
          <w:sz w:val="18"/>
        </w:rPr>
      </w:pPr>
    </w:p>
    <w:p w:rsidR="00A85303" w:rsidRPr="007C3B53" w:rsidRDefault="00A85303" w:rsidP="00A85303">
      <w:pPr>
        <w:rPr>
          <w:rFonts w:ascii="Times New Roman" w:hAnsi="Times New Roman" w:cs="Times New Roman"/>
          <w:sz w:val="18"/>
          <w:szCs w:val="18"/>
        </w:rPr>
      </w:pPr>
      <w:r w:rsidRPr="007C3B53">
        <w:rPr>
          <w:rFonts w:ascii="Times New Roman" w:hAnsi="Times New Roman" w:cs="Times New Roman"/>
          <w:sz w:val="18"/>
          <w:szCs w:val="18"/>
        </w:rPr>
        <w:t xml:space="preserve">Freedom of Expression and its Relationship with the Right to Respect for Private Life and the Right to a Fair Trial </w:t>
      </w:r>
      <w:r>
        <w:rPr>
          <w:rFonts w:ascii="Times New Roman" w:hAnsi="Times New Roman" w:cs="Times New Roman"/>
          <w:sz w:val="18"/>
          <w:szCs w:val="18"/>
        </w:rPr>
        <w:t>– The Jurisprudence of the European Court of Human Rights (2017)</w:t>
      </w:r>
      <w:r w:rsidRPr="007C3B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91FAE" w:rsidRDefault="00991FAE" w:rsidP="00991FAE">
      <w:pPr>
        <w:ind w:left="360"/>
        <w:jc w:val="both"/>
        <w:rPr>
          <w:rFonts w:ascii="Times New Roman" w:hAnsi="Times New Roman"/>
          <w:color w:val="000000"/>
          <w:sz w:val="18"/>
        </w:rPr>
      </w:pPr>
    </w:p>
    <w:p w:rsidR="002D6B5C" w:rsidRDefault="002D6B5C" w:rsidP="00991FAE">
      <w:pPr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Compilation of judgements relevant for the Roma community (2015)</w:t>
      </w:r>
    </w:p>
    <w:p w:rsidR="002D6B5C" w:rsidRDefault="002D6B5C" w:rsidP="00991FAE">
      <w:pPr>
        <w:jc w:val="both"/>
        <w:rPr>
          <w:rFonts w:ascii="Times New Roman" w:hAnsi="Times New Roman"/>
          <w:color w:val="000000"/>
          <w:sz w:val="18"/>
        </w:rPr>
      </w:pPr>
    </w:p>
    <w:p w:rsidR="002D6B5C" w:rsidRDefault="002D6B5C" w:rsidP="002D6B5C">
      <w:pPr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Compilation of judgements relevant for the LGBT</w:t>
      </w:r>
      <w:r w:rsidR="00377CB7"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>community (2014)</w:t>
      </w:r>
    </w:p>
    <w:p w:rsidR="002D6B5C" w:rsidRDefault="002D6B5C" w:rsidP="00991FAE">
      <w:pPr>
        <w:jc w:val="both"/>
        <w:rPr>
          <w:rFonts w:ascii="Times New Roman" w:hAnsi="Times New Roman"/>
          <w:color w:val="000000"/>
          <w:sz w:val="18"/>
        </w:rPr>
      </w:pPr>
    </w:p>
    <w:p w:rsidR="00991FAE" w:rsidRDefault="00991FAE" w:rsidP="00991FAE">
      <w:pPr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Guidelines for advocacy and lobbying for LGBT activists (2012)</w:t>
      </w:r>
    </w:p>
    <w:p w:rsidR="00991FAE" w:rsidRDefault="00991FAE" w:rsidP="00991FAE">
      <w:pPr>
        <w:ind w:left="720"/>
        <w:rPr>
          <w:rFonts w:ascii="Times New Roman" w:hAnsi="Times New Roman"/>
          <w:color w:val="000000"/>
          <w:sz w:val="18"/>
        </w:rPr>
      </w:pPr>
    </w:p>
    <w:p w:rsidR="00991FAE" w:rsidRDefault="00991FAE" w:rsidP="00991FAE">
      <w:pPr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lastRenderedPageBreak/>
        <w:t>Anti-discrimination legislation in Balkan states (2005)</w:t>
      </w:r>
    </w:p>
    <w:p w:rsidR="00991FAE" w:rsidRDefault="00991FAE" w:rsidP="00991FAE">
      <w:pPr>
        <w:ind w:left="720"/>
        <w:rPr>
          <w:rFonts w:ascii="Times New Roman" w:hAnsi="Times New Roman"/>
          <w:color w:val="000000"/>
          <w:sz w:val="18"/>
        </w:rPr>
      </w:pPr>
    </w:p>
    <w:p w:rsidR="00991FAE" w:rsidRDefault="00991FAE" w:rsidP="00991FAE">
      <w:pPr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International Criminal Court and implementation of Rome Statute in Western Balkans (2005)</w:t>
      </w:r>
      <w:r>
        <w:rPr>
          <w:rFonts w:ascii="Times New Roman" w:hAnsi="Times New Roman"/>
          <w:color w:val="000000"/>
          <w:sz w:val="18"/>
        </w:rPr>
        <w:cr/>
      </w:r>
      <w:r>
        <w:rPr>
          <w:rFonts w:ascii="Times New Roman" w:hAnsi="Times New Roman"/>
          <w:color w:val="000000"/>
          <w:sz w:val="18"/>
        </w:rPr>
        <w:cr/>
        <w:t>LGBT rights in Serbia and Montenegro - international and domestic standards (2005)</w:t>
      </w:r>
      <w:r>
        <w:rPr>
          <w:rFonts w:ascii="Times New Roman" w:hAnsi="Times New Roman"/>
          <w:color w:val="000000"/>
          <w:sz w:val="18"/>
        </w:rPr>
        <w:cr/>
      </w:r>
      <w:r>
        <w:rPr>
          <w:rFonts w:ascii="Times New Roman" w:hAnsi="Times New Roman"/>
          <w:color w:val="000000"/>
          <w:sz w:val="18"/>
        </w:rPr>
        <w:cr/>
        <w:t>Publication "Roma in Serbia" (2003)</w:t>
      </w:r>
    </w:p>
    <w:p w:rsidR="00991FAE" w:rsidRDefault="00991FAE" w:rsidP="00991FAE">
      <w:pPr>
        <w:ind w:left="720"/>
        <w:rPr>
          <w:rFonts w:ascii="Times New Roman" w:hAnsi="Times New Roman"/>
          <w:color w:val="000000"/>
          <w:sz w:val="18"/>
        </w:rPr>
      </w:pPr>
    </w:p>
    <w:p w:rsidR="00991FAE" w:rsidRDefault="00991FAE" w:rsidP="00991FAE">
      <w:pPr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Publication "Albanians in Serbia" (2003)</w:t>
      </w:r>
      <w:r>
        <w:rPr>
          <w:rFonts w:ascii="Times New Roman" w:hAnsi="Times New Roman"/>
          <w:color w:val="000000"/>
          <w:sz w:val="18"/>
        </w:rPr>
        <w:cr/>
      </w:r>
    </w:p>
    <w:p w:rsidR="00991FAE" w:rsidRDefault="00991FAE" w:rsidP="00161C80">
      <w:pPr>
        <w:tabs>
          <w:tab w:val="left" w:pos="3196"/>
        </w:tabs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Regional standards in the area of minority protection (2001)</w:t>
      </w:r>
    </w:p>
    <w:p w:rsidR="00991FAE" w:rsidRDefault="00991FAE" w:rsidP="00991FAE">
      <w:pPr>
        <w:jc w:val="both"/>
        <w:rPr>
          <w:rFonts w:ascii="Times New Roman" w:hAnsi="Times New Roman"/>
          <w:color w:val="000000"/>
          <w:sz w:val="18"/>
        </w:rPr>
      </w:pPr>
    </w:p>
    <w:p w:rsidR="00991FAE" w:rsidRDefault="00991FAE" w:rsidP="00161C80">
      <w:pPr>
        <w:tabs>
          <w:tab w:val="left" w:pos="3196"/>
        </w:tabs>
        <w:jc w:val="both"/>
        <w:rPr>
          <w:rFonts w:ascii="Times New Roman" w:hAnsi="Times New Roman"/>
          <w:i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Legal and actual status of national, ethnic and religious minorities in FR </w:t>
      </w:r>
      <w:proofErr w:type="gramStart"/>
      <w:r>
        <w:rPr>
          <w:rFonts w:ascii="Times New Roman" w:hAnsi="Times New Roman"/>
          <w:color w:val="000000"/>
          <w:sz w:val="18"/>
        </w:rPr>
        <w:t>Yugoslavia  (</w:t>
      </w:r>
      <w:proofErr w:type="gramEnd"/>
      <w:r>
        <w:rPr>
          <w:rFonts w:ascii="Times New Roman" w:hAnsi="Times New Roman"/>
          <w:color w:val="000000"/>
          <w:sz w:val="18"/>
        </w:rPr>
        <w:t>2001)</w:t>
      </w:r>
    </w:p>
    <w:p w:rsidR="00991FAE" w:rsidRDefault="00991FAE" w:rsidP="00991FAE">
      <w:pPr>
        <w:jc w:val="both"/>
        <w:rPr>
          <w:rFonts w:ascii="Times New Roman" w:hAnsi="Times New Roman"/>
          <w:i/>
          <w:color w:val="000000"/>
          <w:sz w:val="18"/>
        </w:rPr>
      </w:pPr>
    </w:p>
    <w:p w:rsidR="00991FAE" w:rsidRDefault="00991FAE" w:rsidP="00161C80">
      <w:pPr>
        <w:tabs>
          <w:tab w:val="left" w:pos="3196"/>
        </w:tabs>
        <w:jc w:val="both"/>
        <w:rPr>
          <w:rFonts w:ascii="Times New Roman" w:hAnsi="Times New Roman"/>
          <w:i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Shadow Report on the Implementation of the Framework Convention for the Protection of National Minorities for Serbia, Montenegro and Kosovo</w:t>
      </w:r>
    </w:p>
    <w:p w:rsidR="00991FAE" w:rsidRDefault="00991FAE" w:rsidP="00991FAE">
      <w:pPr>
        <w:jc w:val="both"/>
        <w:rPr>
          <w:rFonts w:ascii="Times New Roman" w:hAnsi="Times New Roman"/>
          <w:i/>
          <w:color w:val="000000"/>
          <w:sz w:val="18"/>
        </w:rPr>
      </w:pPr>
    </w:p>
    <w:p w:rsidR="00991FAE" w:rsidRDefault="00991FAE" w:rsidP="00161C80">
      <w:pPr>
        <w:tabs>
          <w:tab w:val="left" w:pos="3196"/>
        </w:tabs>
        <w:spacing w:after="220" w:line="240" w:lineRule="atLeast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Religious minorities in FR Yugoslavia (2002)</w:t>
      </w:r>
      <w:r>
        <w:rPr>
          <w:rFonts w:ascii="Times New Roman" w:hAnsi="Times New Roman"/>
          <w:color w:val="000000"/>
          <w:sz w:val="18"/>
        </w:rPr>
        <w:cr/>
        <w:t xml:space="preserve">Summary of human rights situation in Serbia in 2001 </w:t>
      </w:r>
      <w:r>
        <w:rPr>
          <w:rFonts w:ascii="Times New Roman" w:hAnsi="Times New Roman"/>
          <w:color w:val="000000"/>
          <w:sz w:val="18"/>
        </w:rPr>
        <w:cr/>
        <w:t xml:space="preserve">Sector B – restoring confidence in the </w:t>
      </w:r>
      <w:proofErr w:type="spellStart"/>
      <w:r>
        <w:rPr>
          <w:rFonts w:ascii="Times New Roman" w:hAnsi="Times New Roman"/>
          <w:color w:val="000000"/>
          <w:sz w:val="18"/>
        </w:rPr>
        <w:t>Presevo</w:t>
      </w:r>
      <w:proofErr w:type="spellEnd"/>
      <w:r>
        <w:rPr>
          <w:rFonts w:ascii="Times New Roman" w:hAnsi="Times New Roman"/>
          <w:color w:val="000000"/>
          <w:sz w:val="18"/>
        </w:rPr>
        <w:t xml:space="preserve"> valley </w:t>
      </w:r>
      <w:r>
        <w:rPr>
          <w:rFonts w:ascii="Times New Roman" w:hAnsi="Times New Roman"/>
          <w:color w:val="000000"/>
          <w:sz w:val="18"/>
        </w:rPr>
        <w:cr/>
        <w:t>Education of minorities in Montenegro</w:t>
      </w:r>
      <w:r>
        <w:rPr>
          <w:rFonts w:ascii="Times New Roman" w:hAnsi="Times New Roman"/>
          <w:color w:val="000000"/>
          <w:sz w:val="18"/>
        </w:rPr>
        <w:cr/>
        <w:t>Treatment of persons belonging to ethnic minorities by the police and judiciary</w:t>
      </w:r>
    </w:p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5B666A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7265" cy="895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EditPoints="1" noChangeArrowheads="1" noChangeShapeType="1" noCrop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991FAE">
            <w:pPr>
              <w:pStyle w:val="ECVSectionDetails"/>
            </w:pPr>
            <w:r>
              <w:t>Serbian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991FAE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161C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161C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161C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161C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161C80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</w:p>
        </w:tc>
      </w:tr>
    </w:tbl>
    <w:p w:rsidR="002946C7" w:rsidRDefault="002946C7"/>
    <w:tbl>
      <w:tblPr>
        <w:tblpPr w:topFromText="6" w:bottomFromText="170" w:vertAnchor="text" w:tblpY="6"/>
        <w:tblW w:w="17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  <w:gridCol w:w="7542"/>
      </w:tblGrid>
      <w:tr w:rsidR="00991FAE" w:rsidTr="00991FA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1FAE" w:rsidRDefault="00991FAE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</w:tcPr>
          <w:p w:rsidR="00991FAE" w:rsidRDefault="00991FAE" w:rsidP="00991FAE">
            <w:pPr>
              <w:ind w:left="47"/>
              <w:rPr>
                <w:sz w:val="18"/>
              </w:rPr>
            </w:pPr>
            <w:r>
              <w:t>Excellent interpersonal and networking communication skills</w:t>
            </w:r>
            <w:r>
              <w:cr/>
              <w:t>Focus on key priorities by setting milestones to ensure things happen as planned</w:t>
            </w:r>
            <w:r>
              <w:cr/>
              <w:t>Strong responsibility and commitment</w:t>
            </w:r>
          </w:p>
        </w:tc>
        <w:tc>
          <w:tcPr>
            <w:tcW w:w="7542" w:type="dxa"/>
            <w:shd w:val="clear" w:color="auto" w:fill="auto"/>
          </w:tcPr>
          <w:p w:rsidR="00991FAE" w:rsidRDefault="00991FAE" w:rsidP="00991FAE">
            <w:pPr>
              <w:pStyle w:val="ECVSectionBullet"/>
              <w:ind w:left="113"/>
            </w:pP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991FA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1FAE" w:rsidRDefault="00991FAE">
            <w:pPr>
              <w:pStyle w:val="ECVLeftDetails"/>
            </w:pPr>
            <w:r>
              <w:t>Computer skills</w:t>
            </w:r>
          </w:p>
        </w:tc>
      </w:tr>
    </w:tbl>
    <w:p w:rsidR="00991FAE" w:rsidRPr="00161C80" w:rsidRDefault="00377CB7" w:rsidP="00991FAE">
      <w:pPr>
        <w:spacing w:before="28" w:line="100" w:lineRule="atLeast"/>
      </w:pPr>
      <w:r>
        <w:t xml:space="preserve">General user computer </w:t>
      </w:r>
      <w:r w:rsidR="00991FAE" w:rsidRPr="00161C80">
        <w:t>skills such</w:t>
      </w:r>
      <w:r>
        <w:t xml:space="preserve"> as Microsoft Office etc.</w:t>
      </w:r>
    </w:p>
    <w:p w:rsidR="002946C7" w:rsidRDefault="002946C7">
      <w:pPr>
        <w:pStyle w:val="ECVText"/>
      </w:pPr>
    </w:p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991FAE" w:rsidP="00991FAE">
            <w:pPr>
              <w:pStyle w:val="ECVSectionBullet"/>
            </w:pPr>
            <w:r>
              <w:t>B</w:t>
            </w:r>
          </w:p>
        </w:tc>
      </w:tr>
    </w:tbl>
    <w:p w:rsidR="002946C7" w:rsidRDefault="002946C7"/>
    <w:sectPr w:rsidR="002946C7" w:rsidSect="000162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44" w:right="680" w:bottom="1474" w:left="851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082" w:rsidRDefault="00E83082">
      <w:r>
        <w:separator/>
      </w:r>
    </w:p>
  </w:endnote>
  <w:endnote w:type="continuationSeparator" w:id="0">
    <w:p w:rsidR="00E83082" w:rsidRDefault="00E8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 Unicode MS"/>
    <w:panose1 w:val="020B0604020202020204"/>
    <w:charset w:val="00"/>
    <w:family w:val="swiss"/>
    <w:pitch w:val="variable"/>
    <w:sig w:usb0="00000000" w:usb1="C000E47F" w:usb2="00000029" w:usb3="00000000" w:csb0="000001D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panose1 w:val="020B0604020202020204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rinna">
    <w:altName w:val="Georg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YUSouvenirR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5F" w:rsidRDefault="0001625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D6B5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1D4E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5F" w:rsidRDefault="0001625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D6B5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1D4E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66A" w:rsidRDefault="005B6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082" w:rsidRDefault="00E83082">
      <w:r>
        <w:separator/>
      </w:r>
    </w:p>
  </w:footnote>
  <w:footnote w:type="continuationSeparator" w:id="0">
    <w:p w:rsidR="00E83082" w:rsidRDefault="00E8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5F" w:rsidRDefault="005B666A">
    <w:pPr>
      <w:pStyle w:val="ECVCurriculumVitaeNextPages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25F">
      <w:t xml:space="preserve"> </w:t>
    </w:r>
    <w:r w:rsidR="0001625F">
      <w:tab/>
      <w:t xml:space="preserve"> </w:t>
    </w:r>
    <w:r w:rsidR="0001625F">
      <w:rPr>
        <w:szCs w:val="20"/>
      </w:rPr>
      <w:t>Curriculum Vitae</w:t>
    </w:r>
    <w:r w:rsidR="0001625F">
      <w:rPr>
        <w:szCs w:val="20"/>
      </w:rPr>
      <w:tab/>
    </w:r>
    <w:r w:rsidR="00161C80">
      <w:rPr>
        <w:szCs w:val="20"/>
      </w:rPr>
      <w:t>Goran Miletić</w:t>
    </w:r>
    <w:r w:rsidR="0001625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5F" w:rsidRDefault="005B666A">
    <w:pPr>
      <w:pStyle w:val="ECVCurriculumVitaeNextPages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25F">
      <w:t xml:space="preserve"> </w:t>
    </w:r>
    <w:r w:rsidR="0001625F">
      <w:tab/>
      <w:t xml:space="preserve"> </w:t>
    </w:r>
    <w:r w:rsidR="0001625F">
      <w:rPr>
        <w:szCs w:val="20"/>
      </w:rPr>
      <w:t>Curriculum Vitae</w:t>
    </w:r>
    <w:r w:rsidR="0001625F">
      <w:rPr>
        <w:szCs w:val="20"/>
      </w:rPr>
      <w:tab/>
      <w:t xml:space="preserve"> </w:t>
    </w:r>
    <w:r w:rsidR="00161C80">
      <w:rPr>
        <w:szCs w:val="20"/>
      </w:rPr>
      <w:t>Goran Miletić</w:t>
    </w:r>
    <w:r w:rsidR="0001625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66A" w:rsidRDefault="005B6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B4B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 w15:restartNumberingAfterBreak="0">
    <w:nsid w:val="197F57E3"/>
    <w:multiLevelType w:val="hybridMultilevel"/>
    <w:tmpl w:val="142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56C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797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0C1D27"/>
    <w:multiLevelType w:val="hybridMultilevel"/>
    <w:tmpl w:val="9E4C778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ED10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isplayBackgroundShape/>
  <w:embedSystemFonts/>
  <w:proofState w:spelling="clean" w:grammar="clean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9"/>
    <w:rsid w:val="0001625F"/>
    <w:rsid w:val="000B65B1"/>
    <w:rsid w:val="00161C80"/>
    <w:rsid w:val="00164857"/>
    <w:rsid w:val="002604D7"/>
    <w:rsid w:val="002946C7"/>
    <w:rsid w:val="002D6B5C"/>
    <w:rsid w:val="00377CB7"/>
    <w:rsid w:val="004D1D4E"/>
    <w:rsid w:val="00551757"/>
    <w:rsid w:val="005B666A"/>
    <w:rsid w:val="007724A3"/>
    <w:rsid w:val="00842FBC"/>
    <w:rsid w:val="00872407"/>
    <w:rsid w:val="00991FAE"/>
    <w:rsid w:val="00A85303"/>
    <w:rsid w:val="00D95F95"/>
    <w:rsid w:val="00E677EF"/>
    <w:rsid w:val="00E83082"/>
    <w:rsid w:val="00F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ECE6C8"/>
  <w15:chartTrackingRefBased/>
  <w15:docId w15:val="{FF2B62BE-524E-4946-9B3F-AEF4B883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CompanyName">
    <w:name w:val="Company Name"/>
    <w:basedOn w:val="Normal"/>
    <w:next w:val="JobTitle"/>
    <w:rsid w:val="00991FAE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color w:val="auto"/>
      <w:spacing w:val="0"/>
      <w:kern w:val="0"/>
      <w:sz w:val="22"/>
      <w:szCs w:val="20"/>
      <w:lang w:val="en-US" w:eastAsia="en-US" w:bidi="ar-SA"/>
    </w:rPr>
  </w:style>
  <w:style w:type="paragraph" w:customStyle="1" w:styleId="JobTitle">
    <w:name w:val="Job Title"/>
    <w:next w:val="Achievement"/>
    <w:rsid w:val="00991FAE"/>
    <w:pPr>
      <w:spacing w:before="40" w:after="40" w:line="220" w:lineRule="atLeast"/>
    </w:pPr>
    <w:rPr>
      <w:rFonts w:ascii="Korinna" w:hAnsi="Korinna"/>
      <w:i/>
      <w:spacing w:val="5"/>
      <w:sz w:val="18"/>
    </w:rPr>
  </w:style>
  <w:style w:type="paragraph" w:customStyle="1" w:styleId="Achievement">
    <w:name w:val="Achievement"/>
    <w:basedOn w:val="BodyText"/>
    <w:rsid w:val="00991FAE"/>
    <w:pPr>
      <w:widowControl/>
      <w:suppressAutoHyphens w:val="0"/>
      <w:spacing w:after="60" w:line="240" w:lineRule="atLeast"/>
      <w:jc w:val="both"/>
    </w:pPr>
    <w:rPr>
      <w:rFonts w:ascii="YUSouvenirR" w:eastAsia="Times New Roman" w:hAnsi="YUSouvenirR" w:cs="Times New Roman"/>
      <w:color w:val="auto"/>
      <w:spacing w:val="0"/>
      <w:kern w:val="0"/>
      <w:sz w:val="22"/>
      <w:szCs w:val="20"/>
      <w:lang w:val="en-US" w:eastAsia="en-US" w:bidi="ar-SA"/>
    </w:rPr>
  </w:style>
  <w:style w:type="paragraph" w:customStyle="1" w:styleId="CompanyNameOne">
    <w:name w:val="Company Name One"/>
    <w:basedOn w:val="CompanyName"/>
    <w:next w:val="JobTitle"/>
    <w:rsid w:val="00991FAE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Srdjan Miljevic</dc:creator>
  <cp:keywords>Europass, CV, Cedefop</cp:keywords>
  <dc:description>Europass CV</dc:description>
  <cp:lastModifiedBy>Goran Miletic</cp:lastModifiedBy>
  <cp:revision>3</cp:revision>
  <cp:lastPrinted>1899-12-31T23:00:00Z</cp:lastPrinted>
  <dcterms:created xsi:type="dcterms:W3CDTF">2017-10-09T09:38:00Z</dcterms:created>
  <dcterms:modified xsi:type="dcterms:W3CDTF">2018-02-09T16:13:00Z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